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60" w:lineRule="exact"/>
        <w:ind w:firstLine="1606" w:firstLineChars="500"/>
        <w:rPr>
          <w:rFonts w:hint="eastAsia" w:ascii="黑体" w:hAnsi="黑体" w:eastAsia="黑体" w:cs="黑体"/>
          <w:b/>
          <w:bCs/>
          <w:sz w:val="32"/>
          <w:szCs w:val="32"/>
          <w:lang w:val="en-US" w:eastAsia="zh-CN"/>
        </w:rPr>
      </w:pPr>
      <w:r>
        <w:rPr>
          <w:rFonts w:hint="eastAsia" w:ascii="黑体" w:hAnsi="黑体" w:eastAsia="黑体" w:cs="黑体"/>
          <w:b/>
          <w:bCs/>
          <w:sz w:val="32"/>
          <w:szCs w:val="32"/>
        </w:rPr>
        <w:t>“红色筑梦之旅”返乡专项活动</w:t>
      </w:r>
      <w:r>
        <w:rPr>
          <w:rFonts w:hint="eastAsia" w:ascii="黑体" w:hAnsi="黑体" w:eastAsia="黑体" w:cs="黑体"/>
          <w:b/>
          <w:bCs/>
          <w:sz w:val="32"/>
          <w:szCs w:val="32"/>
          <w:lang w:val="en-US" w:eastAsia="zh-CN"/>
        </w:rPr>
        <w:t>校级方案</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落实教育部《关于举办第六届中国国际互联网+”大学生创新创业大赛》的通知要求，进一步打造我校返乡专项实践品牌，现将《关于组织开展“读懂中国”2020年暑期社会实践活动的预通知》中“实践活动类”的“返乡专项”调整为“红色筑梦之旅返乡</w:t>
      </w:r>
      <w:bookmarkStart w:id="0" w:name="_GoBack"/>
      <w:bookmarkEnd w:id="0"/>
      <w:r>
        <w:rPr>
          <w:rFonts w:hint="eastAsia" w:ascii="仿宋_GB2312" w:hAnsi="仿宋_GB2312" w:eastAsia="仿宋_GB2312" w:cs="仿宋_GB2312"/>
          <w:sz w:val="28"/>
          <w:szCs w:val="28"/>
        </w:rPr>
        <w:t>专项”，下设以下3个子项目。</w:t>
      </w:r>
    </w:p>
    <w:p>
      <w:pPr>
        <w:spacing w:line="460" w:lineRule="exact"/>
        <w:ind w:firstLine="602" w:firstLineChars="200"/>
        <w:outlineLvl w:val="1"/>
        <w:rPr>
          <w:rFonts w:ascii="楷体_GB2312" w:eastAsia="楷体_GB2312"/>
          <w:b/>
          <w:bCs/>
          <w:sz w:val="30"/>
          <w:szCs w:val="30"/>
        </w:rPr>
      </w:pPr>
      <w:r>
        <w:rPr>
          <w:rFonts w:hint="eastAsia" w:ascii="楷体_GB2312" w:eastAsia="楷体_GB2312"/>
          <w:b/>
          <w:bCs/>
          <w:sz w:val="30"/>
          <w:szCs w:val="30"/>
          <w:lang w:val="en-US" w:eastAsia="zh-CN"/>
        </w:rPr>
        <w:t>一、</w:t>
      </w:r>
      <w:r>
        <w:rPr>
          <w:rFonts w:hint="eastAsia" w:ascii="楷体_GB2312" w:eastAsia="楷体_GB2312"/>
          <w:b/>
          <w:bCs/>
          <w:sz w:val="30"/>
          <w:szCs w:val="30"/>
        </w:rPr>
        <w:t>“读懂中国—我家乡的‘战疫’故事”专项</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详见校团委官网：《关于开展“读懂中国—我家乡的‘战疫’故事”——第六届（2020年）暑期返乡大学生志愿服务行动的通知》。</w:t>
      </w:r>
    </w:p>
    <w:p>
      <w:pPr>
        <w:adjustRightInd w:val="0"/>
        <w:spacing w:line="460" w:lineRule="exact"/>
        <w:ind w:firstLine="560" w:firstLineChars="200"/>
        <w:rPr>
          <w:rStyle w:val="10"/>
          <w:szCs w:val="22"/>
        </w:rPr>
      </w:pPr>
      <w:r>
        <w:rPr>
          <w:rFonts w:hint="eastAsia" w:ascii="仿宋_GB2312" w:hAnsi="仿宋_GB2312" w:eastAsia="仿宋_GB2312" w:cs="仿宋_GB2312"/>
          <w:sz w:val="28"/>
          <w:szCs w:val="28"/>
        </w:rPr>
        <w:t>网站链接：</w:t>
      </w:r>
      <w:r>
        <w:rPr>
          <w:rStyle w:val="10"/>
          <w:sz w:val="22"/>
          <w:szCs w:val="22"/>
        </w:rPr>
        <w:t>http://tw.zuel.edu.cn/2020/0613/c4353a243862/page.htm</w:t>
      </w:r>
    </w:p>
    <w:p>
      <w:pPr>
        <w:spacing w:line="460" w:lineRule="exact"/>
        <w:ind w:firstLine="602" w:firstLineChars="200"/>
        <w:outlineLvl w:val="1"/>
        <w:rPr>
          <w:rFonts w:ascii="楷体_GB2312" w:eastAsia="楷体_GB2312"/>
          <w:b/>
          <w:bCs/>
          <w:sz w:val="30"/>
          <w:szCs w:val="30"/>
        </w:rPr>
      </w:pPr>
      <w:r>
        <w:rPr>
          <w:rFonts w:hint="eastAsia" w:ascii="楷体_GB2312" w:eastAsia="楷体_GB2312"/>
          <w:b/>
          <w:bCs/>
          <w:sz w:val="30"/>
          <w:szCs w:val="30"/>
          <w:lang w:val="en-US" w:eastAsia="zh-CN"/>
        </w:rPr>
        <w:t>二、</w:t>
      </w:r>
      <w:r>
        <w:rPr>
          <w:rFonts w:hint="eastAsia" w:ascii="楷体_GB2312" w:eastAsia="楷体_GB2312"/>
          <w:b/>
          <w:bCs/>
          <w:sz w:val="30"/>
          <w:szCs w:val="30"/>
        </w:rPr>
        <w:t>“青年红色筑梦之旅”专项</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“青年红色筑梦之旅”专项，按照第六届中国国际“互联网+”大学生创新创业大赛“青年红色筑梦之旅”活动要求，有意愿的项目可自愿申报参加“青年红色筑梦之旅”电商直播活动。</w:t>
      </w:r>
    </w:p>
    <w:p>
      <w:pPr>
        <w:adjustRightInd w:val="0"/>
        <w:spacing w:line="4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1.活动形式</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各实践队伍应围绕“青春领航脱贫攻坚 红色筑梦创业人生”主题，敢闯敢试、敢为天下先，走进家乡革命老区和发现家乡革命英雄，以线上问卷、线上访谈、实地走访等形式开展调研活动，发挥团队优势，传承红色基因，助力脱贫攻坚，奉献青春力量。</w:t>
      </w:r>
    </w:p>
    <w:p>
      <w:pPr>
        <w:adjustRightInd w:val="0"/>
        <w:spacing w:line="4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2.活动内容</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鼓励青年重点关注52个未摘帽贫困县的科技、农业、环保等方面需求，围绕社区治理、社区创业、乡村振兴、筑梦小康、环境保护等主题制定家乡的红色筑梦之旅活动方案，努力实现项目长期对接，推出一批帮扶品牌项目，发挥辐射带动作用。</w:t>
      </w:r>
    </w:p>
    <w:p>
      <w:pPr>
        <w:adjustRightInd w:val="0"/>
        <w:spacing w:line="4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3.申报要求</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Tahoma" w:eastAsia="仿宋_GB2312" w:cs="Tahoma"/>
          <w:color w:val="333333"/>
          <w:kern w:val="0"/>
          <w:sz w:val="28"/>
          <w:szCs w:val="28"/>
        </w:rPr>
        <w:t>（1）全校在读本科生、研究生，团队线上申报；成员3-10人；</w:t>
      </w:r>
      <w:r>
        <w:rPr>
          <w:rFonts w:hint="eastAsia" w:ascii="仿宋_GB2312" w:hAnsi="仿宋_GB2312" w:eastAsia="仿宋_GB2312" w:cs="仿宋_GB2312"/>
          <w:sz w:val="28"/>
          <w:szCs w:val="28"/>
        </w:rPr>
        <w:t>不设立项上限，拟结项不超过30项。</w:t>
      </w:r>
    </w:p>
    <w:p>
      <w:pPr>
        <w:adjustRightInd w:val="0"/>
        <w:spacing w:line="460" w:lineRule="exact"/>
        <w:ind w:firstLine="560" w:firstLineChars="200"/>
        <w:rPr>
          <w:rFonts w:ascii="仿宋_GB2312" w:hAnsi="Tahoma" w:eastAsia="仿宋_GB2312" w:cs="Tahoma"/>
          <w:color w:val="333333"/>
          <w:kern w:val="0"/>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由学院团委（团总支）、校团委组织部、校团委社团管理部根据实际申报情况进行资格审查和项目信息汇总报送。</w:t>
      </w:r>
    </w:p>
    <w:p>
      <w:pPr>
        <w:adjustRightInd w:val="0"/>
        <w:spacing w:line="4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4.结项要求</w:t>
      </w:r>
    </w:p>
    <w:p>
      <w:pPr>
        <w:spacing w:line="460" w:lineRule="exact"/>
        <w:ind w:firstLine="560" w:firstLineChars="200"/>
        <w:rPr>
          <w:rFonts w:ascii="仿宋_GB2312" w:hAnsi="Calibri" w:eastAsia="仿宋_GB2312" w:cs="Times New Roman"/>
          <w:sz w:val="28"/>
          <w:szCs w:val="28"/>
        </w:rPr>
      </w:pPr>
      <w:r>
        <w:rPr>
          <w:rFonts w:hint="eastAsia" w:ascii="仿宋_GB2312" w:hAnsi="仿宋_GB2312" w:eastAsia="仿宋_GB2312" w:cs="仿宋_GB2312"/>
          <w:sz w:val="28"/>
          <w:szCs w:val="28"/>
        </w:rPr>
        <w:t>（1）</w:t>
      </w:r>
      <w:r>
        <w:rPr>
          <w:rFonts w:hint="eastAsia" w:ascii="仿宋_GB2312" w:hAnsi="Calibri" w:eastAsia="仿宋_GB2312" w:cs="Times New Roman"/>
          <w:sz w:val="28"/>
          <w:szCs w:val="28"/>
        </w:rPr>
        <w:t>需完成调研报告一份（</w:t>
      </w:r>
      <w:r>
        <w:rPr>
          <w:rFonts w:hint="eastAsia" w:ascii="仿宋_GB2312" w:hAnsi="仿宋_GB2312" w:eastAsia="仿宋_GB2312" w:cs="仿宋_GB2312"/>
          <w:sz w:val="28"/>
          <w:szCs w:val="28"/>
        </w:rPr>
        <w:t>不少于1万字</w:t>
      </w:r>
      <w:r>
        <w:rPr>
          <w:rFonts w:hint="eastAsia" w:ascii="仿宋_GB2312" w:hAnsi="Calibri" w:eastAsia="仿宋_GB2312" w:cs="Times New Roman"/>
          <w:sz w:val="28"/>
          <w:szCs w:val="28"/>
        </w:rPr>
        <w:t>）或学术论文一篇，附调研问卷及数据汇总分析，并提供原始调研数据。</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（2）在实践团队完成结项要求并顺利结项后100%发放资助经费，资助经费为每项800元。</w:t>
      </w:r>
    </w:p>
    <w:p>
      <w:pPr>
        <w:spacing w:line="460" w:lineRule="exact"/>
        <w:ind w:firstLine="602" w:firstLineChars="200"/>
        <w:outlineLvl w:val="1"/>
        <w:rPr>
          <w:rFonts w:ascii="楷体_GB2312" w:eastAsia="楷体_GB2312"/>
          <w:b/>
          <w:bCs/>
          <w:sz w:val="30"/>
          <w:szCs w:val="30"/>
        </w:rPr>
      </w:pPr>
      <w:r>
        <w:rPr>
          <w:rFonts w:hint="eastAsia" w:ascii="楷体_GB2312" w:eastAsia="楷体_GB2312"/>
          <w:b/>
          <w:bCs/>
          <w:sz w:val="30"/>
          <w:szCs w:val="30"/>
          <w:lang w:val="en-US" w:eastAsia="zh-CN"/>
        </w:rPr>
        <w:t>三、</w:t>
      </w:r>
      <w:r>
        <w:rPr>
          <w:rFonts w:hint="eastAsia" w:ascii="楷体_GB2312" w:eastAsia="楷体_GB2312"/>
          <w:b/>
          <w:bCs/>
          <w:sz w:val="30"/>
          <w:szCs w:val="30"/>
        </w:rPr>
        <w:t>“公司调研与创建”专项</w:t>
      </w:r>
    </w:p>
    <w:p>
      <w:pPr>
        <w:adjustRightInd w:val="0"/>
        <w:spacing w:line="4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1.活动形式</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实践队伍可在成员家乡，通过线上线下问卷发放、访谈座谈、现场观察等调研方式，围绕当前疫情防控常态化背景下企业在复工复产、经营管理、技术创新、居家办公、人才用留等方面的现状与问题、机遇与挑战、模式与突破进行调研，寻求解决之道。鼓励根据调查结果，优化企业数据与资料信息，结合所学的经法管相关知识，模拟创建公司，形成公司章程、组织架构、商业模式、业务规划等内容，体验模拟公司运作管理。</w:t>
      </w:r>
    </w:p>
    <w:p>
      <w:pPr>
        <w:adjustRightInd w:val="0"/>
        <w:spacing w:line="4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2.活动内容：深入企业调研 提升创业能力</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引导广大青年学子深入身边企业调研，深入了解企业经营管理的实践，熟悉经营管理实际情况，从而提升大学生的综合能力，使大学生的素质能力与社会企业需要接轨。鼓励在调研基础上开始组建模拟公司，开发产学研项目和平台建设，参与模拟企业运作管理，在公司化的创业体验和管理实践中培养创新创业人才。</w:t>
      </w:r>
    </w:p>
    <w:p>
      <w:pPr>
        <w:adjustRightInd w:val="0"/>
        <w:spacing w:line="4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3.选题参考</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（1）疫情防控常态化下小微企业问题与对策调研（经营管理、复工复产、技术应用、人力资源、疫情防控等）；</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（2）疫情防控常态化下远程居家办公相关问题调研（线上平台、心理健康、劳动保护、工作效率、工作家庭平衡、支持政策等）；</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（3）新形势下“地摊经济”的崛起研究。</w:t>
      </w:r>
    </w:p>
    <w:p>
      <w:pPr>
        <w:adjustRightInd w:val="0"/>
        <w:spacing w:line="4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4.申报要求</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（1）全校在读本科生、研究生，团队线上申报；成员不超过5人；不设立项上限，拟结项不超过8项。</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（2）由学院团委（团总支）、校团委社团管理部和南湖人才开发公司（模拟）根据实际申报情况进行资格审查和项目信息汇总报送。</w:t>
      </w:r>
    </w:p>
    <w:p>
      <w:pPr>
        <w:adjustRightInd w:val="0"/>
        <w:spacing w:line="4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5.结项要求</w:t>
      </w:r>
    </w:p>
    <w:p>
      <w:pPr>
        <w:adjustRightInd w:val="0"/>
        <w:spacing w:line="460" w:lineRule="exact"/>
        <w:ind w:firstLine="560" w:firstLineChars="200"/>
        <w:rPr>
          <w:rFonts w:ascii="仿宋_GB2312" w:hAnsi="宋体" w:eastAsia="仿宋_GB2312" w:cs="Tahoma"/>
          <w:color w:val="333333"/>
          <w:kern w:val="0"/>
          <w:sz w:val="28"/>
          <w:szCs w:val="28"/>
        </w:rPr>
      </w:pPr>
      <w:r>
        <w:rPr>
          <w:rFonts w:hint="eastAsia" w:ascii="仿宋_GB2312" w:hAnsi="宋体" w:eastAsia="仿宋_GB2312" w:cs="Tahoma"/>
          <w:color w:val="333333"/>
          <w:kern w:val="0"/>
          <w:sz w:val="28"/>
          <w:szCs w:val="28"/>
        </w:rPr>
        <w:t>（1）需提供企业调研报告一份（不少于1万字），</w:t>
      </w:r>
      <w:r>
        <w:rPr>
          <w:rFonts w:hint="eastAsia" w:ascii="仿宋_GB2312" w:eastAsia="仿宋_GB2312"/>
          <w:color w:val="333333"/>
          <w:sz w:val="28"/>
          <w:szCs w:val="28"/>
        </w:rPr>
        <w:t>附原始调研数据及数据汇总分析、访谈记录视频一段、代表性调研照片8张以上；</w:t>
      </w:r>
      <w:r>
        <w:rPr>
          <w:rFonts w:hint="eastAsia" w:ascii="仿宋_GB2312" w:hAnsi="宋体" w:eastAsia="仿宋_GB2312" w:cs="Tahoma"/>
          <w:color w:val="333333"/>
          <w:kern w:val="0"/>
          <w:sz w:val="28"/>
          <w:szCs w:val="28"/>
        </w:rPr>
        <w:t>模拟公司策划书一份。</w:t>
      </w:r>
    </w:p>
    <w:p>
      <w:pPr>
        <w:adjustRightInd w:val="0"/>
        <w:spacing w:line="460" w:lineRule="exact"/>
        <w:ind w:firstLine="560" w:firstLineChars="200"/>
        <w:rPr>
          <w:rFonts w:hint="eastAsia" w:ascii="仿宋_GB2312" w:hAnsi="宋体" w:eastAsia="仿宋_GB2312" w:cs="Tahoma"/>
          <w:color w:val="333333"/>
          <w:kern w:val="0"/>
          <w:sz w:val="28"/>
          <w:szCs w:val="28"/>
          <w:lang w:val="en-US" w:eastAsia="zh-CN"/>
        </w:rPr>
      </w:pPr>
      <w:r>
        <w:rPr>
          <w:rFonts w:hint="eastAsia" w:ascii="仿宋_GB2312" w:hAnsi="宋体" w:eastAsia="仿宋_GB2312" w:cs="Tahoma"/>
          <w:color w:val="333333"/>
          <w:kern w:val="0"/>
          <w:sz w:val="28"/>
          <w:szCs w:val="28"/>
        </w:rPr>
        <w:t>（2）在</w:t>
      </w:r>
      <w:r>
        <w:rPr>
          <w:rFonts w:hint="eastAsia" w:ascii="仿宋_GB2312" w:hAnsi="宋体" w:eastAsia="仿宋_GB2312" w:cs="Tahoma"/>
          <w:color w:val="333333"/>
          <w:kern w:val="0"/>
          <w:sz w:val="28"/>
          <w:szCs w:val="28"/>
          <w:lang w:val="en-US" w:eastAsia="zh-CN"/>
        </w:rPr>
        <w:t>校级</w:t>
      </w:r>
      <w:r>
        <w:rPr>
          <w:rFonts w:hint="eastAsia" w:ascii="仿宋_GB2312" w:hAnsi="宋体" w:eastAsia="仿宋_GB2312" w:cs="Tahoma"/>
          <w:color w:val="333333"/>
          <w:kern w:val="0"/>
          <w:sz w:val="28"/>
          <w:szCs w:val="28"/>
        </w:rPr>
        <w:t>实践团队完成结项要求并顺利结项后100%发放资助经费，资助经费为每项</w:t>
      </w:r>
      <w:r>
        <w:rPr>
          <w:rFonts w:ascii="仿宋_GB2312" w:hAnsi="宋体" w:eastAsia="仿宋_GB2312" w:cs="Tahoma"/>
          <w:color w:val="333333"/>
          <w:kern w:val="0"/>
          <w:sz w:val="28"/>
          <w:szCs w:val="28"/>
        </w:rPr>
        <w:t>1000</w:t>
      </w:r>
      <w:r>
        <w:rPr>
          <w:rFonts w:hint="eastAsia" w:ascii="仿宋_GB2312" w:hAnsi="宋体" w:eastAsia="仿宋_GB2312" w:cs="Tahoma"/>
          <w:color w:val="333333"/>
          <w:kern w:val="0"/>
          <w:sz w:val="28"/>
          <w:szCs w:val="28"/>
        </w:rPr>
        <w:t>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92"/>
    <w:rsid w:val="000F103A"/>
    <w:rsid w:val="00277B13"/>
    <w:rsid w:val="00436A99"/>
    <w:rsid w:val="00461DEB"/>
    <w:rsid w:val="004A5792"/>
    <w:rsid w:val="005379E4"/>
    <w:rsid w:val="006825A8"/>
    <w:rsid w:val="00B869DA"/>
    <w:rsid w:val="00E65C01"/>
    <w:rsid w:val="2510697B"/>
    <w:rsid w:val="3657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2" w:semiHidden="0" w:name="heading 2"/>
    <w:lsdException w:qFormat="1" w:uiPriority="3"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5"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5"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1"/>
    <w:pPr>
      <w:keepNext/>
      <w:keepLines/>
      <w:spacing w:line="300" w:lineRule="auto"/>
      <w:ind w:firstLine="420" w:firstLineChars="200"/>
      <w:outlineLvl w:val="0"/>
    </w:pPr>
    <w:rPr>
      <w:rFonts w:ascii="Times New Roman" w:hAnsi="Times New Roman" w:eastAsia="黑体" w:cs="Times New Roman"/>
      <w:b/>
      <w:kern w:val="44"/>
      <w:sz w:val="32"/>
      <w:szCs w:val="44"/>
    </w:rPr>
  </w:style>
  <w:style w:type="paragraph" w:styleId="3">
    <w:name w:val="heading 2"/>
    <w:basedOn w:val="1"/>
    <w:next w:val="1"/>
    <w:link w:val="13"/>
    <w:unhideWhenUsed/>
    <w:qFormat/>
    <w:uiPriority w:val="2"/>
    <w:pPr>
      <w:keepNext/>
      <w:keepLines/>
      <w:spacing w:line="300" w:lineRule="auto"/>
      <w:ind w:firstLine="420" w:firstLineChars="200"/>
      <w:outlineLvl w:val="1"/>
    </w:pPr>
    <w:rPr>
      <w:rFonts w:ascii="Calibri Light" w:hAnsi="Calibri Light" w:eastAsia="宋体" w:cs="Times New Roman"/>
      <w:b/>
      <w:kern w:val="44"/>
      <w:sz w:val="28"/>
      <w:szCs w:val="32"/>
    </w:rPr>
  </w:style>
  <w:style w:type="paragraph" w:styleId="4">
    <w:name w:val="heading 3"/>
    <w:basedOn w:val="1"/>
    <w:next w:val="1"/>
    <w:link w:val="14"/>
    <w:unhideWhenUsed/>
    <w:qFormat/>
    <w:uiPriority w:val="3"/>
    <w:pPr>
      <w:keepNext/>
      <w:keepLines/>
      <w:spacing w:line="300" w:lineRule="auto"/>
      <w:ind w:firstLine="200" w:firstLineChars="200"/>
      <w:outlineLvl w:val="2"/>
    </w:pPr>
    <w:rPr>
      <w:rFonts w:ascii="Times New Roman" w:hAnsi="Times New Roman" w:eastAsia="宋体" w:cs="Times New Roman"/>
      <w:b/>
      <w:kern w:val="44"/>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semiHidden/>
    <w:unhideWhenUsed/>
    <w:qFormat/>
    <w:uiPriority w:val="99"/>
    <w:pPr>
      <w:snapToGrid w:val="0"/>
      <w:spacing w:line="300" w:lineRule="auto"/>
      <w:ind w:firstLine="420" w:firstLineChars="200"/>
      <w:jc w:val="left"/>
    </w:pPr>
    <w:rPr>
      <w:rFonts w:ascii="Times New Roman" w:hAnsi="Times New Roman" w:eastAsia="宋体" w:cs="Times New Roman"/>
      <w:bCs/>
      <w:kern w:val="44"/>
      <w:sz w:val="18"/>
      <w:szCs w:val="18"/>
    </w:r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footnote reference"/>
    <w:semiHidden/>
    <w:unhideWhenUsed/>
    <w:qFormat/>
    <w:uiPriority w:val="99"/>
    <w:rPr>
      <w:vertAlign w:val="superscript"/>
    </w:rPr>
  </w:style>
  <w:style w:type="character" w:customStyle="1" w:styleId="12">
    <w:name w:val="标题 1 字符"/>
    <w:link w:val="2"/>
    <w:qFormat/>
    <w:uiPriority w:val="1"/>
    <w:rPr>
      <w:rFonts w:ascii="Times New Roman" w:hAnsi="Times New Roman" w:eastAsia="黑体" w:cs="Times New Roman"/>
      <w:b/>
      <w:kern w:val="44"/>
      <w:sz w:val="32"/>
      <w:szCs w:val="44"/>
    </w:rPr>
  </w:style>
  <w:style w:type="character" w:customStyle="1" w:styleId="13">
    <w:name w:val="标题 2 字符"/>
    <w:link w:val="3"/>
    <w:qFormat/>
    <w:uiPriority w:val="2"/>
    <w:rPr>
      <w:rFonts w:ascii="Calibri Light" w:hAnsi="Calibri Light" w:eastAsia="宋体" w:cs="Times New Roman"/>
      <w:b/>
      <w:kern w:val="44"/>
      <w:sz w:val="28"/>
      <w:szCs w:val="32"/>
    </w:rPr>
  </w:style>
  <w:style w:type="character" w:customStyle="1" w:styleId="14">
    <w:name w:val="标题 3 字符"/>
    <w:link w:val="4"/>
    <w:qFormat/>
    <w:uiPriority w:val="3"/>
    <w:rPr>
      <w:rFonts w:ascii="Times New Roman" w:hAnsi="Times New Roman" w:eastAsia="宋体" w:cs="Times New Roman"/>
      <w:b/>
      <w:kern w:val="44"/>
      <w:sz w:val="24"/>
      <w:szCs w:val="32"/>
    </w:rPr>
  </w:style>
  <w:style w:type="paragraph" w:customStyle="1" w:styleId="15">
    <w:name w:val="标题3"/>
    <w:basedOn w:val="4"/>
    <w:link w:val="16"/>
    <w:qFormat/>
    <w:uiPriority w:val="3"/>
  </w:style>
  <w:style w:type="character" w:customStyle="1" w:styleId="16">
    <w:name w:val="标题3 Char"/>
    <w:link w:val="15"/>
    <w:qFormat/>
    <w:uiPriority w:val="3"/>
    <w:rPr>
      <w:rFonts w:ascii="Times New Roman" w:hAnsi="Times New Roman" w:eastAsia="宋体" w:cs="Times New Roman"/>
      <w:b/>
      <w:kern w:val="44"/>
      <w:sz w:val="24"/>
      <w:szCs w:val="32"/>
    </w:rPr>
  </w:style>
  <w:style w:type="character" w:customStyle="1" w:styleId="17">
    <w:name w:val="脚注文本 字符"/>
    <w:link w:val="7"/>
    <w:semiHidden/>
    <w:qFormat/>
    <w:uiPriority w:val="99"/>
    <w:rPr>
      <w:rFonts w:ascii="Times New Roman" w:hAnsi="Times New Roman" w:eastAsia="宋体" w:cs="Times New Roman"/>
      <w:bCs/>
      <w:kern w:val="44"/>
      <w:sz w:val="18"/>
      <w:szCs w:val="18"/>
    </w:rPr>
  </w:style>
  <w:style w:type="character" w:customStyle="1" w:styleId="18">
    <w:name w:val="页眉 字符"/>
    <w:basedOn w:val="9"/>
    <w:link w:val="6"/>
    <w:qFormat/>
    <w:uiPriority w:val="99"/>
    <w:rPr>
      <w:sz w:val="18"/>
      <w:szCs w:val="18"/>
    </w:rPr>
  </w:style>
  <w:style w:type="character" w:customStyle="1" w:styleId="19">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236</Words>
  <Characters>1350</Characters>
  <Lines>11</Lines>
  <Paragraphs>3</Paragraphs>
  <TotalTime>3</TotalTime>
  <ScaleCrop>false</ScaleCrop>
  <LinksUpToDate>false</LinksUpToDate>
  <CharactersWithSpaces>1583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2020-06-19T10:36:00Z</dcterms:created>
  <dc:creator>in songs</dc:creator>
  <cp:lastModifiedBy>yanyupan</cp:lastModifiedBy>
  <dcterms:modified xsi:type="dcterms:W3CDTF">2020-06-22T02:36:24Z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